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B77F" w14:textId="740DFAA6" w:rsidR="009F4551" w:rsidRDefault="0021471D" w:rsidP="00090FDD">
      <w:pPr>
        <w:pStyle w:val="Pagedecouverture"/>
      </w:pPr>
      <w:r>
        <w:rPr>
          <w:noProof/>
        </w:rPr>
        <w:drawing>
          <wp:inline distT="0" distB="0" distL="0" distR="0" wp14:anchorId="1EA2702A" wp14:editId="0FC0D73D">
            <wp:extent cx="5781675" cy="5981700"/>
            <wp:effectExtent l="0" t="0" r="0" b="0"/>
            <wp:docPr id="1186396110" name="Afbeelding 1" descr="C063BD4A-102B-46BC-928E-8A781A15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63BD4A-102B-46BC-928E-8A781A152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43D5B" w14:textId="77777777" w:rsidR="009F4551" w:rsidRDefault="009F4551" w:rsidP="009F4551">
      <w:pPr>
        <w:sectPr w:rsidR="009F4551" w:rsidSect="002B0E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9C2AB11" w14:textId="77777777" w:rsidR="009F4551" w:rsidRPr="00D67B31" w:rsidRDefault="009F4551" w:rsidP="009F4551">
      <w:pPr>
        <w:pStyle w:val="Annexetitre"/>
      </w:pPr>
      <w:r w:rsidRPr="009F4551">
        <w:lastRenderedPageBreak/>
        <w:t xml:space="preserve">ANNEX </w:t>
      </w:r>
      <w:r>
        <w:t>I</w:t>
      </w:r>
    </w:p>
    <w:p w14:paraId="129375B0" w14:textId="4BCB18BE" w:rsidR="00990167" w:rsidRDefault="00990167" w:rsidP="00990167">
      <w:pPr>
        <w:rPr>
          <w:szCs w:val="24"/>
          <w:lang w:eastAsia="en-GB"/>
        </w:rPr>
      </w:pPr>
      <w:bookmarkStart w:id="0" w:name="_Hlk147928762"/>
      <w:r>
        <w:rPr>
          <w:szCs w:val="24"/>
          <w:lang w:eastAsia="en-GB"/>
        </w:rPr>
        <w:t xml:space="preserve">The chemical structure of substances for which the definition </w:t>
      </w:r>
      <w:r w:rsidR="00F05A49">
        <w:rPr>
          <w:szCs w:val="24"/>
          <w:lang w:eastAsia="en-GB"/>
        </w:rPr>
        <w:t>‘</w:t>
      </w:r>
      <w:r>
        <w:rPr>
          <w:szCs w:val="24"/>
          <w:lang w:eastAsia="en-GB"/>
        </w:rPr>
        <w:t>bisphenol</w:t>
      </w:r>
      <w:r w:rsidR="00F05A49">
        <w:rPr>
          <w:szCs w:val="24"/>
          <w:lang w:eastAsia="en-GB"/>
        </w:rPr>
        <w:t>’</w:t>
      </w:r>
      <w:r>
        <w:rPr>
          <w:szCs w:val="24"/>
          <w:lang w:eastAsia="en-GB"/>
        </w:rPr>
        <w:t xml:space="preserve"> </w:t>
      </w:r>
      <w:r w:rsidR="00775528">
        <w:rPr>
          <w:szCs w:val="24"/>
          <w:lang w:eastAsia="en-GB"/>
        </w:rPr>
        <w:t>and ‘bisphenol derivative</w:t>
      </w:r>
      <w:r w:rsidR="0035447A">
        <w:rPr>
          <w:szCs w:val="24"/>
          <w:lang w:eastAsia="en-GB"/>
        </w:rPr>
        <w:t xml:space="preserve">’ </w:t>
      </w:r>
      <w:r>
        <w:rPr>
          <w:szCs w:val="24"/>
          <w:lang w:eastAsia="en-GB"/>
        </w:rPr>
        <w:t>applies</w:t>
      </w:r>
      <w:r w:rsidR="00625DA5">
        <w:rPr>
          <w:szCs w:val="24"/>
          <w:lang w:eastAsia="en-GB"/>
        </w:rPr>
        <w:t xml:space="preserve"> is </w:t>
      </w:r>
      <w:r w:rsidR="00DC5F5F">
        <w:rPr>
          <w:szCs w:val="24"/>
          <w:lang w:eastAsia="en-GB"/>
        </w:rPr>
        <w:t>as follows</w:t>
      </w:r>
      <w:r w:rsidRPr="0018523B">
        <w:rPr>
          <w:szCs w:val="24"/>
          <w:lang w:eastAsia="en-GB"/>
        </w:rPr>
        <w:t>: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626"/>
      </w:tblGrid>
      <w:tr w:rsidR="009C6C07" w14:paraId="419055B6" w14:textId="77777777" w:rsidTr="00FB1460">
        <w:trPr>
          <w:jc w:val="center"/>
        </w:trPr>
        <w:tc>
          <w:tcPr>
            <w:tcW w:w="0" w:type="auto"/>
            <w:vAlign w:val="center"/>
          </w:tcPr>
          <w:p w14:paraId="3DB0F6A9" w14:textId="5B71833D" w:rsidR="009C6C07" w:rsidRDefault="009C6C07" w:rsidP="00FB1460">
            <w:pPr>
              <w:spacing w:before="0"/>
            </w:pPr>
            <w:r>
              <w:t>(A) Bisphenol structure</w:t>
            </w:r>
          </w:p>
        </w:tc>
        <w:tc>
          <w:tcPr>
            <w:tcW w:w="0" w:type="auto"/>
            <w:vAlign w:val="center"/>
          </w:tcPr>
          <w:p w14:paraId="48F3870A" w14:textId="5A3B130F" w:rsidR="009C6C07" w:rsidRDefault="009C6C07" w:rsidP="00FB1460">
            <w:pPr>
              <w:spacing w:before="0"/>
            </w:pPr>
            <w:r>
              <w:t>(B) Bisphenol derivative structure</w:t>
            </w:r>
          </w:p>
        </w:tc>
      </w:tr>
      <w:tr w:rsidR="009C6C07" w14:paraId="5E7F0204" w14:textId="77777777" w:rsidTr="00FB1460">
        <w:trPr>
          <w:jc w:val="center"/>
        </w:trPr>
        <w:tc>
          <w:tcPr>
            <w:tcW w:w="0" w:type="auto"/>
            <w:vAlign w:val="center"/>
          </w:tcPr>
          <w:p w14:paraId="5935011B" w14:textId="009BC798" w:rsidR="009C6C07" w:rsidRDefault="001B7D05" w:rsidP="00FB14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B2FD7E" wp14:editId="0AB3B16E">
                  <wp:extent cx="2566670" cy="62928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178486A" w14:textId="449B3E2C" w:rsidR="009C6C07" w:rsidRDefault="001B7D05" w:rsidP="00FB14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8CD587" wp14:editId="62E85822">
                  <wp:extent cx="2799715" cy="1117600"/>
                  <wp:effectExtent l="0" t="0" r="63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C108F" w14:textId="77777777" w:rsidR="009C6C07" w:rsidRDefault="009C6C07" w:rsidP="00990167"/>
    <w:bookmarkEnd w:id="0"/>
    <w:p w14:paraId="4A493C5F" w14:textId="594C0BC3" w:rsidR="001B7D05" w:rsidRPr="002B1050" w:rsidRDefault="001B7D05" w:rsidP="001B7D05">
      <w:r>
        <w:t>Notes. X refers to any bridging group separating the two phenyl rings by one single atom, but the atom can have any substituent(s).</w:t>
      </w:r>
    </w:p>
    <w:p w14:paraId="3AF14A06" w14:textId="77777777" w:rsidR="00F2696D" w:rsidRDefault="001B7D05" w:rsidP="00D67B31">
      <w:pPr>
        <w:rPr>
          <w:snapToGrid w:val="0"/>
        </w:rPr>
      </w:pPr>
      <w:r>
        <w:rPr>
          <w:snapToGrid w:val="0"/>
        </w:rPr>
        <w:t>R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to R</w:t>
      </w:r>
      <w:r>
        <w:rPr>
          <w:snapToGrid w:val="0"/>
          <w:vertAlign w:val="subscript"/>
        </w:rPr>
        <w:t>10</w:t>
      </w:r>
      <w:r>
        <w:rPr>
          <w:snapToGrid w:val="0"/>
        </w:rPr>
        <w:t xml:space="preserve"> refers to any substituent. At least one of the substituents is not a hydrogen atom (H).</w:t>
      </w:r>
    </w:p>
    <w:p w14:paraId="7030EAAC" w14:textId="493AB5F2" w:rsidR="001B7D05" w:rsidRDefault="001B7D05" w:rsidP="00D67B31">
      <w:pPr>
        <w:sectPr w:rsidR="001B7D05" w:rsidSect="002B0E2C">
          <w:footerReference w:type="default" r:id="rId20"/>
          <w:footerReference w:type="first" r:id="rId21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1FA7BE0D" w14:textId="77777777" w:rsidR="009F4551" w:rsidRDefault="009F4551" w:rsidP="009F4551">
      <w:pPr>
        <w:pStyle w:val="Annexetitre"/>
      </w:pPr>
      <w:r w:rsidRPr="009F4551">
        <w:lastRenderedPageBreak/>
        <w:t xml:space="preserve">ANNEX </w:t>
      </w:r>
      <w:r>
        <w:t>II</w:t>
      </w:r>
    </w:p>
    <w:p w14:paraId="78877650" w14:textId="1533B9D6" w:rsidR="00780E4C" w:rsidRPr="00D67B31" w:rsidRDefault="00780E4C" w:rsidP="00D67B31">
      <w:pPr>
        <w:jc w:val="center"/>
        <w:rPr>
          <w:b/>
          <w:bCs/>
          <w:i/>
          <w:iCs/>
          <w:u w:val="single"/>
        </w:rPr>
      </w:pPr>
      <w:r w:rsidRPr="00D67B31">
        <w:rPr>
          <w:b/>
          <w:bCs/>
          <w:u w:val="single"/>
          <w:lang w:eastAsia="en-GB"/>
        </w:rPr>
        <w:t xml:space="preserve">Union list of </w:t>
      </w:r>
      <w:r w:rsidR="004D53D7" w:rsidRPr="00D67B31">
        <w:rPr>
          <w:b/>
          <w:bCs/>
          <w:u w:val="single"/>
          <w:lang w:eastAsia="en-GB"/>
        </w:rPr>
        <w:t xml:space="preserve">BPA and other </w:t>
      </w:r>
      <w:r w:rsidR="00A31695" w:rsidRPr="00D67B31">
        <w:rPr>
          <w:b/>
          <w:bCs/>
          <w:u w:val="single"/>
          <w:lang w:eastAsia="en-GB"/>
        </w:rPr>
        <w:t xml:space="preserve">hazardous </w:t>
      </w:r>
      <w:r w:rsidRPr="00D67B31">
        <w:rPr>
          <w:b/>
          <w:bCs/>
          <w:u w:val="single"/>
          <w:lang w:eastAsia="en-GB"/>
        </w:rPr>
        <w:t xml:space="preserve">bisphenols </w:t>
      </w:r>
      <w:r w:rsidR="00773F70" w:rsidRPr="00D67B31">
        <w:rPr>
          <w:b/>
          <w:bCs/>
          <w:u w:val="single"/>
          <w:lang w:eastAsia="en-GB"/>
        </w:rPr>
        <w:t xml:space="preserve">and hazardous bisphenol </w:t>
      </w:r>
      <w:r w:rsidRPr="00D67B31">
        <w:rPr>
          <w:b/>
          <w:bCs/>
          <w:u w:val="single"/>
          <w:lang w:eastAsia="en-GB"/>
        </w:rPr>
        <w:t xml:space="preserve">derivatives </w:t>
      </w:r>
      <w:r w:rsidR="004D53D7" w:rsidRPr="00D67B31">
        <w:rPr>
          <w:b/>
          <w:bCs/>
          <w:u w:val="single"/>
          <w:lang w:eastAsia="en-GB"/>
        </w:rPr>
        <w:t xml:space="preserve">authorised for use in the manufacture of food contact </w:t>
      </w:r>
      <w:r w:rsidR="00773F70" w:rsidRPr="00D67B31">
        <w:rPr>
          <w:b/>
          <w:bCs/>
          <w:u w:val="single"/>
          <w:lang w:eastAsia="en-GB"/>
        </w:rPr>
        <w:t xml:space="preserve">materials and </w:t>
      </w:r>
      <w:r w:rsidR="004D53D7" w:rsidRPr="00D67B31">
        <w:rPr>
          <w:b/>
          <w:bCs/>
          <w:u w:val="single"/>
          <w:lang w:eastAsia="en-GB"/>
        </w:rPr>
        <w:t xml:space="preserve">articles </w:t>
      </w:r>
      <w:r w:rsidR="002451CC" w:rsidRPr="00D67B31">
        <w:rPr>
          <w:b/>
          <w:bCs/>
          <w:u w:val="single"/>
          <w:lang w:eastAsia="en-GB"/>
        </w:rPr>
        <w:t>f</w:t>
      </w:r>
      <w:r w:rsidR="004D53D7" w:rsidRPr="00D67B31">
        <w:rPr>
          <w:b/>
          <w:bCs/>
          <w:u w:val="single"/>
          <w:lang w:eastAsia="en-GB"/>
        </w:rPr>
        <w:t xml:space="preserve">or </w:t>
      </w:r>
      <w:r w:rsidR="002451CC" w:rsidRPr="00D67B31">
        <w:rPr>
          <w:b/>
          <w:bCs/>
          <w:u w:val="single"/>
          <w:lang w:eastAsia="en-GB"/>
        </w:rPr>
        <w:t xml:space="preserve">specific </w:t>
      </w:r>
      <w:r w:rsidR="004D53D7" w:rsidRPr="00D67B31">
        <w:rPr>
          <w:b/>
          <w:bCs/>
          <w:u w:val="single"/>
          <w:lang w:eastAsia="en-GB"/>
        </w:rPr>
        <w:t>applications</w:t>
      </w:r>
    </w:p>
    <w:p w14:paraId="7FD2CF7F" w14:textId="77777777" w:rsidR="00780E4C" w:rsidRDefault="00780E4C" w:rsidP="00780E4C">
      <w:r w:rsidRPr="008149A0">
        <w:t xml:space="preserve">Column </w:t>
      </w:r>
      <w:r>
        <w:t>1</w:t>
      </w:r>
      <w:r w:rsidRPr="008149A0">
        <w:t xml:space="preserve"> (</w:t>
      </w:r>
      <w:r>
        <w:t>FCM</w:t>
      </w:r>
      <w:r w:rsidRPr="008149A0">
        <w:t xml:space="preserve"> No): the </w:t>
      </w:r>
      <w:r>
        <w:t>Food Contact Materials (FCM) substance number</w:t>
      </w:r>
    </w:p>
    <w:p w14:paraId="556F45D4" w14:textId="7919E727" w:rsidR="00780E4C" w:rsidRDefault="00780E4C" w:rsidP="00780E4C">
      <w:r>
        <w:t xml:space="preserve">Column 2 </w:t>
      </w:r>
      <w:r w:rsidRPr="008149A0">
        <w:t>(CAS No): the Chemical Abstracts Service (CAS) registry number</w:t>
      </w:r>
    </w:p>
    <w:p w14:paraId="28D6B840" w14:textId="4B1E62AC" w:rsidR="00780E4C" w:rsidRDefault="00780E4C" w:rsidP="00780E4C">
      <w:r w:rsidRPr="008149A0">
        <w:t xml:space="preserve">Column </w:t>
      </w:r>
      <w:r w:rsidR="002E58CA">
        <w:t>3</w:t>
      </w:r>
      <w:r w:rsidRPr="008149A0">
        <w:t xml:space="preserve"> (Substance </w:t>
      </w:r>
      <w:r w:rsidR="00775528">
        <w:t>n</w:t>
      </w:r>
      <w:r w:rsidRPr="008149A0">
        <w:t xml:space="preserve">ame): the </w:t>
      </w:r>
      <w:r>
        <w:t xml:space="preserve">IUPAC </w:t>
      </w:r>
      <w:r w:rsidRPr="008149A0">
        <w:t>chemical name</w:t>
      </w:r>
    </w:p>
    <w:p w14:paraId="506727BF" w14:textId="3CFF4333" w:rsidR="00780E4C" w:rsidRDefault="00780E4C" w:rsidP="00780E4C">
      <w:r>
        <w:t>Column</w:t>
      </w:r>
      <w:r w:rsidR="001E4A02">
        <w:t xml:space="preserve"> </w:t>
      </w:r>
      <w:r w:rsidR="002E58CA">
        <w:t>4</w:t>
      </w:r>
      <w:r>
        <w:t xml:space="preserve"> (Material type): the </w:t>
      </w:r>
      <w:r w:rsidRPr="0007244A">
        <w:t>group of materials and articles which may be covered by specific measures</w:t>
      </w:r>
    </w:p>
    <w:p w14:paraId="206CA294" w14:textId="274F8A75" w:rsidR="00780E4C" w:rsidRDefault="00780E4C" w:rsidP="00780E4C">
      <w:r>
        <w:t xml:space="preserve">Column </w:t>
      </w:r>
      <w:r w:rsidR="002E58CA">
        <w:t>5</w:t>
      </w:r>
      <w:r>
        <w:t xml:space="preserve"> (</w:t>
      </w:r>
      <w:r w:rsidR="00773F70">
        <w:t>S</w:t>
      </w:r>
      <w:r w:rsidR="002451CC">
        <w:t>pecific</w:t>
      </w:r>
      <w:r w:rsidR="00ED241D">
        <w:t xml:space="preserve"> application</w:t>
      </w:r>
      <w:r>
        <w:t xml:space="preserve">): </w:t>
      </w:r>
      <w:r w:rsidR="002B1050">
        <w:t>t</w:t>
      </w:r>
      <w:r>
        <w:t xml:space="preserve">he </w:t>
      </w:r>
      <w:r w:rsidR="002451CC">
        <w:t>specific</w:t>
      </w:r>
      <w:r w:rsidR="00ED241D">
        <w:t xml:space="preserve"> </w:t>
      </w:r>
      <w:r>
        <w:t>application for which the use of the substance is restricted and for which the derogation applies</w:t>
      </w:r>
    </w:p>
    <w:p w14:paraId="02A5D997" w14:textId="41B89A00" w:rsidR="00780E4C" w:rsidRPr="0018523B" w:rsidRDefault="00780E4C" w:rsidP="00780E4C">
      <w:r>
        <w:t xml:space="preserve">Column </w:t>
      </w:r>
      <w:r w:rsidR="002E58CA">
        <w:t>6</w:t>
      </w:r>
      <w:r>
        <w:t xml:space="preserve"> (Other restrictions): other restrictions that </w:t>
      </w:r>
      <w:r w:rsidR="002B1050">
        <w:t>apply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967"/>
        <w:gridCol w:w="1641"/>
        <w:gridCol w:w="1263"/>
        <w:gridCol w:w="2074"/>
        <w:gridCol w:w="1797"/>
      </w:tblGrid>
      <w:tr w:rsidR="002E58CA" w:rsidRPr="00C93F93" w14:paraId="75FF83A1" w14:textId="77777777" w:rsidTr="006A1B9D">
        <w:tc>
          <w:tcPr>
            <w:tcW w:w="678" w:type="pct"/>
            <w:shd w:val="clear" w:color="auto" w:fill="auto"/>
          </w:tcPr>
          <w:p w14:paraId="2F9936D2" w14:textId="77777777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(1)</w:t>
            </w:r>
          </w:p>
        </w:tc>
        <w:tc>
          <w:tcPr>
            <w:tcW w:w="540" w:type="pct"/>
            <w:shd w:val="clear" w:color="auto" w:fill="auto"/>
          </w:tcPr>
          <w:p w14:paraId="23D8DC47" w14:textId="77777777" w:rsidR="002E58CA" w:rsidRDefault="002E58CA" w:rsidP="009D7B7B">
            <w:pPr>
              <w:spacing w:before="40" w:after="40"/>
              <w:jc w:val="center"/>
            </w:pPr>
            <w:r>
              <w:t>(2)</w:t>
            </w:r>
          </w:p>
        </w:tc>
        <w:tc>
          <w:tcPr>
            <w:tcW w:w="916" w:type="pct"/>
          </w:tcPr>
          <w:p w14:paraId="51874CEF" w14:textId="52DA529E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57882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  <w:tc>
          <w:tcPr>
            <w:tcW w:w="705" w:type="pct"/>
            <w:shd w:val="clear" w:color="auto" w:fill="auto"/>
          </w:tcPr>
          <w:p w14:paraId="4E9F4F0E" w14:textId="753AD345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57882">
              <w:rPr>
                <w:szCs w:val="24"/>
              </w:rPr>
              <w:t>4</w:t>
            </w:r>
            <w:r>
              <w:rPr>
                <w:szCs w:val="24"/>
              </w:rPr>
              <w:t>)</w:t>
            </w:r>
          </w:p>
        </w:tc>
        <w:tc>
          <w:tcPr>
            <w:tcW w:w="1158" w:type="pct"/>
            <w:shd w:val="clear" w:color="auto" w:fill="auto"/>
          </w:tcPr>
          <w:p w14:paraId="50A8AAF2" w14:textId="60E071DD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57882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  <w:tc>
          <w:tcPr>
            <w:tcW w:w="1003" w:type="pct"/>
          </w:tcPr>
          <w:p w14:paraId="71B2DE1A" w14:textId="3D24E1F1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57882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2E58CA" w:rsidRPr="00C93F93" w14:paraId="3C707890" w14:textId="77777777" w:rsidTr="006A1B9D">
        <w:tc>
          <w:tcPr>
            <w:tcW w:w="678" w:type="pct"/>
            <w:shd w:val="clear" w:color="auto" w:fill="auto"/>
          </w:tcPr>
          <w:p w14:paraId="66699ED0" w14:textId="77777777" w:rsidR="002E58CA" w:rsidRPr="00A3733B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FCM substance No</w:t>
            </w:r>
          </w:p>
        </w:tc>
        <w:tc>
          <w:tcPr>
            <w:tcW w:w="540" w:type="pct"/>
            <w:shd w:val="clear" w:color="auto" w:fill="auto"/>
          </w:tcPr>
          <w:p w14:paraId="7CFE7DFB" w14:textId="0D80A040" w:rsidR="002E58CA" w:rsidRDefault="002E58CA" w:rsidP="009D7B7B">
            <w:pPr>
              <w:spacing w:before="40" w:after="40"/>
              <w:jc w:val="center"/>
            </w:pPr>
            <w:r>
              <w:t xml:space="preserve">CAS No </w:t>
            </w:r>
          </w:p>
        </w:tc>
        <w:tc>
          <w:tcPr>
            <w:tcW w:w="916" w:type="pct"/>
          </w:tcPr>
          <w:p w14:paraId="4A340004" w14:textId="61EEDE1C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Substance name</w:t>
            </w:r>
          </w:p>
        </w:tc>
        <w:tc>
          <w:tcPr>
            <w:tcW w:w="705" w:type="pct"/>
            <w:shd w:val="clear" w:color="auto" w:fill="auto"/>
          </w:tcPr>
          <w:p w14:paraId="47F180C7" w14:textId="77777777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Material type</w:t>
            </w:r>
          </w:p>
        </w:tc>
        <w:tc>
          <w:tcPr>
            <w:tcW w:w="1158" w:type="pct"/>
            <w:shd w:val="clear" w:color="auto" w:fill="auto"/>
          </w:tcPr>
          <w:p w14:paraId="16E63EA4" w14:textId="0014E1CD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Specific application</w:t>
            </w:r>
          </w:p>
        </w:tc>
        <w:tc>
          <w:tcPr>
            <w:tcW w:w="1003" w:type="pct"/>
          </w:tcPr>
          <w:p w14:paraId="19FDE615" w14:textId="77777777" w:rsidR="002E58CA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Other restrictions</w:t>
            </w:r>
          </w:p>
        </w:tc>
      </w:tr>
      <w:tr w:rsidR="002E58CA" w:rsidRPr="00C93F93" w14:paraId="30BE5AB4" w14:textId="77777777" w:rsidTr="006A1B9D">
        <w:tc>
          <w:tcPr>
            <w:tcW w:w="678" w:type="pct"/>
            <w:vMerge w:val="restart"/>
            <w:shd w:val="clear" w:color="auto" w:fill="auto"/>
          </w:tcPr>
          <w:p w14:paraId="41CE0A59" w14:textId="77777777" w:rsidR="002E58CA" w:rsidRPr="00A3733B" w:rsidRDefault="002E58CA" w:rsidP="009D7B7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186FD09A" w14:textId="77777777" w:rsidR="002E58CA" w:rsidRDefault="002E58CA" w:rsidP="009D7B7B">
            <w:pPr>
              <w:spacing w:before="40" w:after="40"/>
              <w:jc w:val="center"/>
            </w:pPr>
            <w:r>
              <w:t>80-05-7</w:t>
            </w:r>
          </w:p>
        </w:tc>
        <w:tc>
          <w:tcPr>
            <w:tcW w:w="916" w:type="pct"/>
            <w:vMerge w:val="restart"/>
          </w:tcPr>
          <w:p w14:paraId="14A25660" w14:textId="5C2D8415" w:rsidR="002E58CA" w:rsidRDefault="002E58CA" w:rsidP="009D7B7B">
            <w:pPr>
              <w:spacing w:before="40" w:after="40"/>
              <w:rPr>
                <w:szCs w:val="24"/>
              </w:rPr>
            </w:pPr>
            <w:r w:rsidRPr="00432F22">
              <w:t>4,4'-isopropylidenediphenol</w:t>
            </w:r>
            <w:r>
              <w:t xml:space="preserve"> (bisphenol A)</w:t>
            </w:r>
          </w:p>
        </w:tc>
        <w:tc>
          <w:tcPr>
            <w:tcW w:w="705" w:type="pct"/>
            <w:shd w:val="clear" w:color="auto" w:fill="auto"/>
          </w:tcPr>
          <w:p w14:paraId="32D85DB8" w14:textId="77777777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Varnishes and coatings</w:t>
            </w:r>
          </w:p>
        </w:tc>
        <w:tc>
          <w:tcPr>
            <w:tcW w:w="1158" w:type="pct"/>
            <w:shd w:val="clear" w:color="auto" w:fill="auto"/>
          </w:tcPr>
          <w:p w14:paraId="31902234" w14:textId="47AE14F0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For use as a monomer or starting substance in the manufacture of liquid epoxy resins to be applied </w:t>
            </w:r>
            <w:r>
              <w:t xml:space="preserve">on self-supporting </w:t>
            </w:r>
            <w:r w:rsidR="002D48AE">
              <w:t xml:space="preserve">food contact </w:t>
            </w:r>
            <w:r>
              <w:t>materials or articles with a capacity greater than 1000</w:t>
            </w:r>
            <w:r w:rsidRPr="002F0766">
              <w:t xml:space="preserve"> litres</w:t>
            </w:r>
          </w:p>
        </w:tc>
        <w:tc>
          <w:tcPr>
            <w:tcW w:w="1003" w:type="pct"/>
          </w:tcPr>
          <w:p w14:paraId="30572002" w14:textId="77777777" w:rsidR="00CF03A7" w:rsidRDefault="00CF03A7" w:rsidP="00CF03A7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Migration into food shall not be detectable. </w:t>
            </w:r>
          </w:p>
          <w:p w14:paraId="017CEDE0" w14:textId="2614F52F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Final food contact articles shall be cleaned and flushed prior to first being brought into contact with food</w:t>
            </w:r>
          </w:p>
        </w:tc>
      </w:tr>
      <w:tr w:rsidR="002E58CA" w:rsidRPr="00C93F93" w14:paraId="469CBD8E" w14:textId="77777777" w:rsidTr="006A1B9D">
        <w:tc>
          <w:tcPr>
            <w:tcW w:w="678" w:type="pct"/>
            <w:vMerge/>
            <w:shd w:val="clear" w:color="auto" w:fill="auto"/>
          </w:tcPr>
          <w:p w14:paraId="11AA8B4E" w14:textId="77777777" w:rsidR="002E58CA" w:rsidRDefault="002E58CA" w:rsidP="009D7B7B">
            <w:pPr>
              <w:spacing w:before="40" w:after="40"/>
              <w:rPr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56AEDB21" w14:textId="77777777" w:rsidR="002E58CA" w:rsidRDefault="002E58CA" w:rsidP="009D7B7B">
            <w:pPr>
              <w:spacing w:before="40" w:after="40"/>
            </w:pPr>
          </w:p>
        </w:tc>
        <w:tc>
          <w:tcPr>
            <w:tcW w:w="916" w:type="pct"/>
            <w:vMerge/>
          </w:tcPr>
          <w:p w14:paraId="0D19747E" w14:textId="49127092" w:rsidR="002E58CA" w:rsidRPr="00432F22" w:rsidRDefault="002E58CA" w:rsidP="009D7B7B">
            <w:pPr>
              <w:spacing w:before="40" w:after="40"/>
            </w:pPr>
          </w:p>
        </w:tc>
        <w:tc>
          <w:tcPr>
            <w:tcW w:w="705" w:type="pct"/>
            <w:shd w:val="clear" w:color="auto" w:fill="auto"/>
          </w:tcPr>
          <w:p w14:paraId="2496CC5C" w14:textId="77777777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Plastics</w:t>
            </w:r>
          </w:p>
        </w:tc>
        <w:tc>
          <w:tcPr>
            <w:tcW w:w="1158" w:type="pct"/>
            <w:shd w:val="clear" w:color="auto" w:fill="auto"/>
          </w:tcPr>
          <w:p w14:paraId="482A9CF2" w14:textId="77777777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For use as a </w:t>
            </w:r>
            <w:r w:rsidRPr="00AC5F1A">
              <w:rPr>
                <w:szCs w:val="24"/>
              </w:rPr>
              <w:t>monomer or starting substance</w:t>
            </w:r>
            <w:r>
              <w:rPr>
                <w:szCs w:val="24"/>
              </w:rPr>
              <w:t xml:space="preserve"> in the manufacture of </w:t>
            </w:r>
            <w:r w:rsidRPr="003436FC">
              <w:rPr>
                <w:szCs w:val="24"/>
              </w:rPr>
              <w:t>polysulfone filtration membrane assemblies</w:t>
            </w:r>
          </w:p>
        </w:tc>
        <w:tc>
          <w:tcPr>
            <w:tcW w:w="1003" w:type="pct"/>
          </w:tcPr>
          <w:p w14:paraId="21574454" w14:textId="77777777" w:rsidR="00CF03A7" w:rsidRDefault="00CF03A7" w:rsidP="00CF03A7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Migration into food shall not be detectable. </w:t>
            </w:r>
          </w:p>
          <w:p w14:paraId="25D3BA3F" w14:textId="6BFE488A" w:rsidR="002E58CA" w:rsidRDefault="002E58CA" w:rsidP="009D7B7B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Final food contact articles shall be cleaned and flushed prior to first being brought into contact with food</w:t>
            </w:r>
          </w:p>
        </w:tc>
      </w:tr>
    </w:tbl>
    <w:p w14:paraId="463B19EF" w14:textId="348E181B" w:rsidR="009727A5" w:rsidRDefault="009727A5" w:rsidP="009727A5">
      <w:pPr>
        <w:pStyle w:val="Point0"/>
        <w:sectPr w:rsidR="009727A5" w:rsidSect="002B0E2C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0107E87" w14:textId="5458253C" w:rsidR="00DD61AB" w:rsidRPr="00D67B31" w:rsidRDefault="00DD61AB" w:rsidP="00DD61AB">
      <w:pPr>
        <w:pStyle w:val="Annexetitre"/>
      </w:pPr>
      <w:r w:rsidRPr="009F4551">
        <w:lastRenderedPageBreak/>
        <w:t xml:space="preserve">ANNEX </w:t>
      </w:r>
      <w:r>
        <w:t>III</w:t>
      </w:r>
    </w:p>
    <w:p w14:paraId="0D7B9F82" w14:textId="5201D84E" w:rsidR="00780E4C" w:rsidRDefault="00780E4C" w:rsidP="00780E4C">
      <w:r w:rsidRPr="009F4551">
        <w:t xml:space="preserve">The </w:t>
      </w:r>
      <w:r>
        <w:t xml:space="preserve">declaration of compliance referred to in Article </w:t>
      </w:r>
      <w:r w:rsidR="00DD159A">
        <w:t xml:space="preserve">8 </w:t>
      </w:r>
      <w:r>
        <w:t>shall contain the following information:</w:t>
      </w:r>
    </w:p>
    <w:p w14:paraId="5AA2E424" w14:textId="477F8850" w:rsidR="00780E4C" w:rsidRPr="00352AE3" w:rsidRDefault="00780E4C" w:rsidP="00780E4C">
      <w:pPr>
        <w:pStyle w:val="Point0number"/>
        <w:numPr>
          <w:ilvl w:val="0"/>
          <w:numId w:val="6"/>
        </w:numPr>
      </w:pPr>
      <w:r w:rsidRPr="00352AE3">
        <w:t>the identity and address</w:t>
      </w:r>
      <w:r>
        <w:t xml:space="preserve"> as well as contact details including either a</w:t>
      </w:r>
      <w:r w:rsidR="00EB0B6E">
        <w:t xml:space="preserve"> current</w:t>
      </w:r>
      <w:r>
        <w:t xml:space="preserve"> </w:t>
      </w:r>
      <w:r w:rsidRPr="006A1B9D">
        <w:t>telephone number or email address</w:t>
      </w:r>
      <w:r w:rsidRPr="00352AE3">
        <w:t xml:space="preserve"> of the business operator issuing the declaration of compliance;</w:t>
      </w:r>
    </w:p>
    <w:p w14:paraId="36170F79" w14:textId="107A43D0" w:rsidR="00780E4C" w:rsidRPr="00352AE3" w:rsidRDefault="00780E4C" w:rsidP="00780E4C">
      <w:pPr>
        <w:pStyle w:val="Point0number"/>
        <w:numPr>
          <w:ilvl w:val="0"/>
          <w:numId w:val="1"/>
        </w:numPr>
      </w:pPr>
      <w:r w:rsidRPr="00352AE3">
        <w:t xml:space="preserve">the identity and address </w:t>
      </w:r>
      <w:r>
        <w:t>as well as contact details including either a</w:t>
      </w:r>
      <w:r w:rsidR="00EB0B6E">
        <w:t xml:space="preserve"> current</w:t>
      </w:r>
      <w:r>
        <w:t xml:space="preserve"> </w:t>
      </w:r>
      <w:r w:rsidRPr="006A1B9D">
        <w:t>telephone number or email address</w:t>
      </w:r>
      <w:r w:rsidRPr="00352AE3">
        <w:t xml:space="preserve"> of the business operator which manufactures or imports the </w:t>
      </w:r>
      <w:r w:rsidR="001E4A02">
        <w:t xml:space="preserve">food contact </w:t>
      </w:r>
      <w:r w:rsidRPr="00352AE3">
        <w:t>material or article;</w:t>
      </w:r>
    </w:p>
    <w:p w14:paraId="2BAE3F81" w14:textId="2E85242F" w:rsidR="00652E1E" w:rsidRDefault="00780E4C" w:rsidP="00780E4C">
      <w:pPr>
        <w:pStyle w:val="Point0number"/>
        <w:numPr>
          <w:ilvl w:val="0"/>
          <w:numId w:val="1"/>
        </w:numPr>
      </w:pPr>
      <w:r w:rsidRPr="00352AE3">
        <w:t xml:space="preserve">the identity of the </w:t>
      </w:r>
      <w:r>
        <w:t xml:space="preserve">food contact </w:t>
      </w:r>
      <w:r w:rsidRPr="00352AE3">
        <w:t>material or article</w:t>
      </w:r>
      <w:r>
        <w:t xml:space="preserve">, including </w:t>
      </w:r>
      <w:r w:rsidR="002B1050">
        <w:t>both intermediate food contact</w:t>
      </w:r>
      <w:r w:rsidRPr="00432F22">
        <w:t xml:space="preserve"> materials </w:t>
      </w:r>
      <w:r w:rsidR="002B1050">
        <w:t xml:space="preserve">and </w:t>
      </w:r>
      <w:r>
        <w:t>final food contact article</w:t>
      </w:r>
      <w:r w:rsidR="002B1050">
        <w:t>s</w:t>
      </w:r>
      <w:r w:rsidR="00652E1E">
        <w:t>;</w:t>
      </w:r>
    </w:p>
    <w:p w14:paraId="3A97DF6A" w14:textId="77777777" w:rsidR="00780E4C" w:rsidRDefault="00780E4C" w:rsidP="00780E4C">
      <w:pPr>
        <w:pStyle w:val="Point0number"/>
        <w:numPr>
          <w:ilvl w:val="0"/>
          <w:numId w:val="1"/>
        </w:numPr>
      </w:pPr>
      <w:r w:rsidRPr="00352AE3">
        <w:t>the date of the declaration;</w:t>
      </w:r>
    </w:p>
    <w:p w14:paraId="58752E4E" w14:textId="66FD8E91" w:rsidR="008908D5" w:rsidRDefault="00610CAF" w:rsidP="00780E4C">
      <w:pPr>
        <w:pStyle w:val="Point0number"/>
        <w:numPr>
          <w:ilvl w:val="0"/>
          <w:numId w:val="1"/>
        </w:numPr>
      </w:pPr>
      <w:r>
        <w:t>a</w:t>
      </w:r>
      <w:r w:rsidR="00234553">
        <w:t xml:space="preserve"> list of </w:t>
      </w:r>
      <w:r w:rsidR="00AC5F1A">
        <w:t xml:space="preserve">any </w:t>
      </w:r>
      <w:r w:rsidR="00EB0B6E">
        <w:t>bisphenol</w:t>
      </w:r>
      <w:r w:rsidR="00234553">
        <w:t>s</w:t>
      </w:r>
      <w:r w:rsidR="00E30427">
        <w:t xml:space="preserve"> or </w:t>
      </w:r>
      <w:r w:rsidR="00593467">
        <w:t xml:space="preserve">bisphenol </w:t>
      </w:r>
      <w:r w:rsidR="00E30427">
        <w:t>derivatives</w:t>
      </w:r>
      <w:r w:rsidR="00EB0B6E">
        <w:t xml:space="preserve"> </w:t>
      </w:r>
      <w:r w:rsidR="00234553">
        <w:t>used in the manufacture of the food contact material or article</w:t>
      </w:r>
      <w:r w:rsidR="008908D5">
        <w:t>;</w:t>
      </w:r>
    </w:p>
    <w:p w14:paraId="3BC09A94" w14:textId="2287E100" w:rsidR="00780E4C" w:rsidRPr="00352AE3" w:rsidRDefault="00610CAF" w:rsidP="00780E4C">
      <w:pPr>
        <w:pStyle w:val="Point0number"/>
        <w:numPr>
          <w:ilvl w:val="0"/>
          <w:numId w:val="1"/>
        </w:numPr>
      </w:pPr>
      <w:r>
        <w:t xml:space="preserve">a statement </w:t>
      </w:r>
      <w:r w:rsidR="00780E4C">
        <w:t xml:space="preserve">that the intermediate food contact material or article or final food contact article complies with this Regulation </w:t>
      </w:r>
      <w:r w:rsidR="00780E4C" w:rsidRPr="006A1B9D">
        <w:t>and the requirements set out in Articles 3, 15 and 17 of Regulation (EC) No 1935/2004</w:t>
      </w:r>
      <w:r w:rsidR="00780E4C">
        <w:t>.</w:t>
      </w:r>
    </w:p>
    <w:sectPr w:rsidR="00780E4C" w:rsidRPr="00352AE3" w:rsidSect="002B0E2C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BECE" w14:textId="77777777" w:rsidR="00C36751" w:rsidRDefault="00C36751" w:rsidP="009F4551">
      <w:pPr>
        <w:spacing w:before="0" w:after="0"/>
      </w:pPr>
      <w:r>
        <w:separator/>
      </w:r>
    </w:p>
  </w:endnote>
  <w:endnote w:type="continuationSeparator" w:id="0">
    <w:p w14:paraId="1F2CF534" w14:textId="77777777" w:rsidR="00C36751" w:rsidRDefault="00C36751" w:rsidP="009F4551">
      <w:pPr>
        <w:spacing w:before="0" w:after="0"/>
      </w:pPr>
      <w:r>
        <w:continuationSeparator/>
      </w:r>
    </w:p>
  </w:endnote>
  <w:endnote w:type="continuationNotice" w:id="1">
    <w:p w14:paraId="774D92B1" w14:textId="77777777" w:rsidR="00C36751" w:rsidRDefault="00C3675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729A" w14:textId="61E77647" w:rsidR="00A058F3" w:rsidRPr="002B0E2C" w:rsidRDefault="002B0E2C" w:rsidP="002B0E2C">
    <w:pPr>
      <w:pStyle w:val="Voettekst"/>
      <w:rPr>
        <w:rFonts w:ascii="Arial" w:hAnsi="Arial" w:cs="Arial"/>
        <w:b/>
        <w:sz w:val="48"/>
      </w:rPr>
    </w:pPr>
    <w:r w:rsidRPr="002B0E2C">
      <w:rPr>
        <w:rFonts w:ascii="Arial" w:hAnsi="Arial" w:cs="Arial"/>
        <w:b/>
        <w:sz w:val="48"/>
      </w:rPr>
      <w:t>EN</w:t>
    </w:r>
    <w:r w:rsidRPr="002B0E2C">
      <w:rPr>
        <w:rFonts w:ascii="Arial" w:hAnsi="Arial" w:cs="Arial"/>
        <w:b/>
        <w:sz w:val="48"/>
      </w:rPr>
      <w:tab/>
    </w:r>
    <w:r w:rsidRPr="002B0E2C">
      <w:rPr>
        <w:rFonts w:ascii="Arial" w:hAnsi="Arial" w:cs="Arial"/>
        <w:b/>
        <w:sz w:val="48"/>
      </w:rPr>
      <w:tab/>
    </w:r>
    <w:r w:rsidRPr="002B0E2C">
      <w:tab/>
    </w:r>
    <w:r w:rsidRPr="002B0E2C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674F" w14:textId="0D22F796" w:rsidR="00A058F3" w:rsidRPr="002B0E2C" w:rsidRDefault="002B0E2C" w:rsidP="002B0E2C">
    <w:pPr>
      <w:pStyle w:val="Voettekst"/>
      <w:rPr>
        <w:rFonts w:ascii="Arial" w:hAnsi="Arial" w:cs="Arial"/>
        <w:b/>
        <w:sz w:val="48"/>
      </w:rPr>
    </w:pPr>
    <w:r w:rsidRPr="002B0E2C">
      <w:rPr>
        <w:rFonts w:ascii="Arial" w:hAnsi="Arial" w:cs="Arial"/>
        <w:b/>
        <w:sz w:val="48"/>
      </w:rPr>
      <w:t>EN</w:t>
    </w:r>
    <w:r w:rsidRPr="002B0E2C">
      <w:rPr>
        <w:rFonts w:ascii="Arial" w:hAnsi="Arial" w:cs="Arial"/>
        <w:b/>
        <w:sz w:val="48"/>
      </w:rPr>
      <w:tab/>
    </w:r>
    <w:r w:rsidRPr="002B0E2C">
      <w:rPr>
        <w:rFonts w:ascii="Arial" w:hAnsi="Arial" w:cs="Arial"/>
        <w:b/>
        <w:sz w:val="48"/>
      </w:rPr>
      <w:tab/>
    </w:r>
    <w:r w:rsidRPr="002B0E2C">
      <w:tab/>
    </w:r>
    <w:r w:rsidRPr="002B0E2C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C69D" w14:textId="77777777" w:rsidR="002B0E2C" w:rsidRPr="002B0E2C" w:rsidRDefault="002B0E2C" w:rsidP="002B0E2C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AF9E" w14:textId="191B3827" w:rsidR="00090FDD" w:rsidRPr="002B0E2C" w:rsidRDefault="002B0E2C" w:rsidP="002B0E2C">
    <w:pPr>
      <w:pStyle w:val="Voettekst"/>
      <w:rPr>
        <w:rFonts w:ascii="Arial" w:hAnsi="Arial" w:cs="Arial"/>
        <w:b/>
        <w:sz w:val="48"/>
      </w:rPr>
    </w:pPr>
    <w:r w:rsidRPr="002B0E2C">
      <w:rPr>
        <w:rFonts w:ascii="Arial" w:hAnsi="Arial" w:cs="Arial"/>
        <w:b/>
        <w:sz w:val="48"/>
      </w:rPr>
      <w:t>EN</w:t>
    </w:r>
    <w:r w:rsidRPr="002B0E2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 w:rsidRPr="002B0E2C">
      <w:tab/>
    </w:r>
    <w:r w:rsidRPr="002B0E2C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6B99" w14:textId="77777777" w:rsidR="002B0E2C" w:rsidRPr="002B0E2C" w:rsidRDefault="002B0E2C" w:rsidP="002B0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2B28" w14:textId="77777777" w:rsidR="00C36751" w:rsidRDefault="00C36751" w:rsidP="009F4551">
      <w:pPr>
        <w:spacing w:before="0" w:after="0"/>
      </w:pPr>
      <w:r>
        <w:separator/>
      </w:r>
    </w:p>
  </w:footnote>
  <w:footnote w:type="continuationSeparator" w:id="0">
    <w:p w14:paraId="12335D0D" w14:textId="77777777" w:rsidR="00C36751" w:rsidRDefault="00C36751" w:rsidP="009F4551">
      <w:pPr>
        <w:spacing w:before="0" w:after="0"/>
      </w:pPr>
      <w:r>
        <w:continuationSeparator/>
      </w:r>
    </w:p>
  </w:footnote>
  <w:footnote w:type="continuationNotice" w:id="1">
    <w:p w14:paraId="35DF5F80" w14:textId="77777777" w:rsidR="00C36751" w:rsidRDefault="00C367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2447" w14:textId="77777777" w:rsidR="002B0E2C" w:rsidRPr="002B0E2C" w:rsidRDefault="002B0E2C" w:rsidP="002B0E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2D19" w14:textId="77777777" w:rsidR="002B0E2C" w:rsidRPr="002B0E2C" w:rsidRDefault="002B0E2C" w:rsidP="002B0E2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C5B8" w14:textId="77777777" w:rsidR="002B0E2C" w:rsidRPr="002B0E2C" w:rsidRDefault="002B0E2C" w:rsidP="002B0E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B009B6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C3299F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6CE94C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BD4E075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63860E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0CC1E7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BFEC16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328D58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738867112">
    <w:abstractNumId w:val="8"/>
  </w:num>
  <w:num w:numId="2" w16cid:durableId="733890483">
    <w:abstractNumId w:val="7"/>
  </w:num>
  <w:num w:numId="3" w16cid:durableId="663431444">
    <w:abstractNumId w:val="5"/>
  </w:num>
  <w:num w:numId="4" w16cid:durableId="1969584376">
    <w:abstractNumId w:val="4"/>
  </w:num>
  <w:num w:numId="5" w16cid:durableId="2092001813">
    <w:abstractNumId w:val="3"/>
  </w:num>
  <w:num w:numId="6" w16cid:durableId="722680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761849">
    <w:abstractNumId w:val="1"/>
  </w:num>
  <w:num w:numId="8" w16cid:durableId="1475373816">
    <w:abstractNumId w:val="6"/>
  </w:num>
  <w:num w:numId="9" w16cid:durableId="1857839889">
    <w:abstractNumId w:val="2"/>
  </w:num>
  <w:num w:numId="10" w16cid:durableId="717441022">
    <w:abstractNumId w:val="0"/>
  </w:num>
  <w:num w:numId="11" w16cid:durableId="975065865">
    <w:abstractNumId w:val="19"/>
  </w:num>
  <w:num w:numId="12" w16cid:durableId="358508427">
    <w:abstractNumId w:val="12"/>
  </w:num>
  <w:num w:numId="13" w16cid:durableId="1415664605">
    <w:abstractNumId w:val="21"/>
  </w:num>
  <w:num w:numId="14" w16cid:durableId="2073311865">
    <w:abstractNumId w:val="11"/>
  </w:num>
  <w:num w:numId="15" w16cid:durableId="1344435306">
    <w:abstractNumId w:val="13"/>
  </w:num>
  <w:num w:numId="16" w16cid:durableId="1549339434">
    <w:abstractNumId w:val="14"/>
  </w:num>
  <w:num w:numId="17" w16cid:durableId="780344532">
    <w:abstractNumId w:val="9"/>
  </w:num>
  <w:num w:numId="18" w16cid:durableId="1037775570">
    <w:abstractNumId w:val="20"/>
  </w:num>
  <w:num w:numId="19" w16cid:durableId="1426072025">
    <w:abstractNumId w:val="8"/>
  </w:num>
  <w:num w:numId="20" w16cid:durableId="1841314271">
    <w:abstractNumId w:val="15"/>
  </w:num>
  <w:num w:numId="21" w16cid:durableId="1256984877">
    <w:abstractNumId w:val="17"/>
  </w:num>
  <w:num w:numId="22" w16cid:durableId="328678150">
    <w:abstractNumId w:val="18"/>
  </w:num>
  <w:num w:numId="23" w16cid:durableId="1236739932">
    <w:abstractNumId w:val="10"/>
  </w:num>
  <w:num w:numId="24" w16cid:durableId="1295210161">
    <w:abstractNumId w:val="16"/>
  </w:num>
  <w:num w:numId="25" w16cid:durableId="119415211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_RefLast" w:val="0"/>
    <w:docVar w:name="DQCDateTime" w:val="2024-06-12 15:02:0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C063BD4A-102B-46BC-928E-8A781A152512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use of bisphenol A (BPA) and other bisphenols and their derivatives with harmonised classification for specific hazardous properties in certain materials and articles intended to come into contact with food, amending Regulation (EU) No 10/2011 and repealing Regulation (EU) 2018/213_x000d__x000d__x000d__x000d__x000d__x000d__x000b_"/>
    <w:docVar w:name="LW_OBJETACTEPRINCIPAL.CP" w:val="on the use of bisphenol A (BPA) and other bisphenols and their derivatives with harmonised classification for specific hazardous properties in certain materials and articles intended to come into contact with food, amending Regulation (EU) No 10/2011 and repealing Regulation (EU) 2018/213_x000d__x000d__x000d__x000d__x000d__x000d__x000b_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24) XXX"/>
    <w:docVar w:name="LW_REF.INTERNE" w:val="PLAN/2023/1013 ANNEX (POOL/E2/2023/1013/1013-EN ANNEX.docx)   D097818/02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COMMISSION REGULATION (EU) .../..."/>
    <w:docVar w:name="LW_TYPEACTEPRINCIPAL.CP" w:val="COMMISSION REGULATION (EU) .../..."/>
  </w:docVars>
  <w:rsids>
    <w:rsidRoot w:val="009F4551"/>
    <w:rsid w:val="00011180"/>
    <w:rsid w:val="00012369"/>
    <w:rsid w:val="00017565"/>
    <w:rsid w:val="00025253"/>
    <w:rsid w:val="0007244A"/>
    <w:rsid w:val="000816D6"/>
    <w:rsid w:val="00085A91"/>
    <w:rsid w:val="00086A5C"/>
    <w:rsid w:val="00090FDD"/>
    <w:rsid w:val="000A24A7"/>
    <w:rsid w:val="000A5225"/>
    <w:rsid w:val="000A54C9"/>
    <w:rsid w:val="000D5E2F"/>
    <w:rsid w:val="000D76D3"/>
    <w:rsid w:val="000E015D"/>
    <w:rsid w:val="000E2A0A"/>
    <w:rsid w:val="00101A57"/>
    <w:rsid w:val="00110591"/>
    <w:rsid w:val="00115358"/>
    <w:rsid w:val="00123D4F"/>
    <w:rsid w:val="00134543"/>
    <w:rsid w:val="00147EE4"/>
    <w:rsid w:val="00162DF9"/>
    <w:rsid w:val="00165C4F"/>
    <w:rsid w:val="00167CB5"/>
    <w:rsid w:val="00175C6B"/>
    <w:rsid w:val="001875E3"/>
    <w:rsid w:val="00194F15"/>
    <w:rsid w:val="00196F14"/>
    <w:rsid w:val="001A0322"/>
    <w:rsid w:val="001B4C3D"/>
    <w:rsid w:val="001B4E82"/>
    <w:rsid w:val="001B7D05"/>
    <w:rsid w:val="001C7ED4"/>
    <w:rsid w:val="001D6578"/>
    <w:rsid w:val="001E44BC"/>
    <w:rsid w:val="001E4A02"/>
    <w:rsid w:val="001F343E"/>
    <w:rsid w:val="00204C69"/>
    <w:rsid w:val="002062A3"/>
    <w:rsid w:val="002076A6"/>
    <w:rsid w:val="0021471D"/>
    <w:rsid w:val="002149F1"/>
    <w:rsid w:val="00216A5D"/>
    <w:rsid w:val="00216EDB"/>
    <w:rsid w:val="0022187F"/>
    <w:rsid w:val="00224297"/>
    <w:rsid w:val="00226F89"/>
    <w:rsid w:val="00234553"/>
    <w:rsid w:val="00236253"/>
    <w:rsid w:val="002451CC"/>
    <w:rsid w:val="0024523E"/>
    <w:rsid w:val="002474A9"/>
    <w:rsid w:val="00273DE5"/>
    <w:rsid w:val="00287E72"/>
    <w:rsid w:val="00291937"/>
    <w:rsid w:val="00291CFF"/>
    <w:rsid w:val="00292606"/>
    <w:rsid w:val="002941E0"/>
    <w:rsid w:val="00296A15"/>
    <w:rsid w:val="00296D2F"/>
    <w:rsid w:val="002B0E2C"/>
    <w:rsid w:val="002B1050"/>
    <w:rsid w:val="002C2BDE"/>
    <w:rsid w:val="002C6C27"/>
    <w:rsid w:val="002D48AE"/>
    <w:rsid w:val="002E58CA"/>
    <w:rsid w:val="003074C4"/>
    <w:rsid w:val="00312EBF"/>
    <w:rsid w:val="003229D3"/>
    <w:rsid w:val="003346BC"/>
    <w:rsid w:val="003436FC"/>
    <w:rsid w:val="003461DE"/>
    <w:rsid w:val="00352D51"/>
    <w:rsid w:val="00352ED1"/>
    <w:rsid w:val="0035447A"/>
    <w:rsid w:val="003606DF"/>
    <w:rsid w:val="003753EA"/>
    <w:rsid w:val="00385DB6"/>
    <w:rsid w:val="003909D7"/>
    <w:rsid w:val="003A5CFC"/>
    <w:rsid w:val="003B01E9"/>
    <w:rsid w:val="003B2EA2"/>
    <w:rsid w:val="003C48BA"/>
    <w:rsid w:val="003E110A"/>
    <w:rsid w:val="003E2D57"/>
    <w:rsid w:val="003F7C17"/>
    <w:rsid w:val="00406A12"/>
    <w:rsid w:val="00411D9C"/>
    <w:rsid w:val="004200BC"/>
    <w:rsid w:val="00431CB3"/>
    <w:rsid w:val="0043717D"/>
    <w:rsid w:val="00447144"/>
    <w:rsid w:val="00451E83"/>
    <w:rsid w:val="004802CA"/>
    <w:rsid w:val="0048321D"/>
    <w:rsid w:val="00487C4D"/>
    <w:rsid w:val="00491591"/>
    <w:rsid w:val="00492EB7"/>
    <w:rsid w:val="0049439B"/>
    <w:rsid w:val="004A28D1"/>
    <w:rsid w:val="004A7909"/>
    <w:rsid w:val="004B743E"/>
    <w:rsid w:val="004C336A"/>
    <w:rsid w:val="004C5CBD"/>
    <w:rsid w:val="004D37EB"/>
    <w:rsid w:val="004D53D7"/>
    <w:rsid w:val="004D610D"/>
    <w:rsid w:val="004F45D5"/>
    <w:rsid w:val="005027DB"/>
    <w:rsid w:val="005033C9"/>
    <w:rsid w:val="00530E95"/>
    <w:rsid w:val="005426E9"/>
    <w:rsid w:val="00546AC1"/>
    <w:rsid w:val="005508C2"/>
    <w:rsid w:val="0055100D"/>
    <w:rsid w:val="0055334C"/>
    <w:rsid w:val="00554337"/>
    <w:rsid w:val="00567303"/>
    <w:rsid w:val="005867FF"/>
    <w:rsid w:val="00593467"/>
    <w:rsid w:val="005A3E29"/>
    <w:rsid w:val="005B53FA"/>
    <w:rsid w:val="006000DD"/>
    <w:rsid w:val="006074E0"/>
    <w:rsid w:val="00610CAF"/>
    <w:rsid w:val="00614DFF"/>
    <w:rsid w:val="006229BF"/>
    <w:rsid w:val="00625DA5"/>
    <w:rsid w:val="00626211"/>
    <w:rsid w:val="00626E37"/>
    <w:rsid w:val="00634645"/>
    <w:rsid w:val="00652E1E"/>
    <w:rsid w:val="0065395E"/>
    <w:rsid w:val="006623CE"/>
    <w:rsid w:val="006810DA"/>
    <w:rsid w:val="00682340"/>
    <w:rsid w:val="00693CEA"/>
    <w:rsid w:val="006A1B9D"/>
    <w:rsid w:val="006A325F"/>
    <w:rsid w:val="006A6BCB"/>
    <w:rsid w:val="006B07DA"/>
    <w:rsid w:val="006B16E5"/>
    <w:rsid w:val="006C32D1"/>
    <w:rsid w:val="006C6F9F"/>
    <w:rsid w:val="006E12C5"/>
    <w:rsid w:val="006E1E65"/>
    <w:rsid w:val="00700128"/>
    <w:rsid w:val="00701EE9"/>
    <w:rsid w:val="00722558"/>
    <w:rsid w:val="00723D25"/>
    <w:rsid w:val="00727151"/>
    <w:rsid w:val="00735670"/>
    <w:rsid w:val="00735D89"/>
    <w:rsid w:val="00744133"/>
    <w:rsid w:val="0075443A"/>
    <w:rsid w:val="00755CEB"/>
    <w:rsid w:val="00770438"/>
    <w:rsid w:val="00773DCE"/>
    <w:rsid w:val="00773F70"/>
    <w:rsid w:val="00775528"/>
    <w:rsid w:val="00780E4C"/>
    <w:rsid w:val="007876B1"/>
    <w:rsid w:val="00794DF6"/>
    <w:rsid w:val="007A07A8"/>
    <w:rsid w:val="007A3E50"/>
    <w:rsid w:val="007A46D2"/>
    <w:rsid w:val="007B3084"/>
    <w:rsid w:val="007B55D2"/>
    <w:rsid w:val="007C2048"/>
    <w:rsid w:val="007E3E1F"/>
    <w:rsid w:val="0080030E"/>
    <w:rsid w:val="00807917"/>
    <w:rsid w:val="008149A0"/>
    <w:rsid w:val="00820228"/>
    <w:rsid w:val="00823A3E"/>
    <w:rsid w:val="00834057"/>
    <w:rsid w:val="00852305"/>
    <w:rsid w:val="00863A06"/>
    <w:rsid w:val="00872D9B"/>
    <w:rsid w:val="00880408"/>
    <w:rsid w:val="00881B96"/>
    <w:rsid w:val="008842DE"/>
    <w:rsid w:val="008908D5"/>
    <w:rsid w:val="00891C71"/>
    <w:rsid w:val="00894F5B"/>
    <w:rsid w:val="0089708F"/>
    <w:rsid w:val="008A1B4D"/>
    <w:rsid w:val="008B1615"/>
    <w:rsid w:val="008B2BC7"/>
    <w:rsid w:val="008D2813"/>
    <w:rsid w:val="008D6398"/>
    <w:rsid w:val="008D6680"/>
    <w:rsid w:val="008E777C"/>
    <w:rsid w:val="00905D22"/>
    <w:rsid w:val="009074EA"/>
    <w:rsid w:val="00907500"/>
    <w:rsid w:val="00917B90"/>
    <w:rsid w:val="00917CB8"/>
    <w:rsid w:val="009251FD"/>
    <w:rsid w:val="00946FF7"/>
    <w:rsid w:val="009528FC"/>
    <w:rsid w:val="00954872"/>
    <w:rsid w:val="0096639B"/>
    <w:rsid w:val="00966785"/>
    <w:rsid w:val="0097041D"/>
    <w:rsid w:val="009727A5"/>
    <w:rsid w:val="00986702"/>
    <w:rsid w:val="00986BF7"/>
    <w:rsid w:val="00990167"/>
    <w:rsid w:val="00990FD6"/>
    <w:rsid w:val="0099184C"/>
    <w:rsid w:val="0099758E"/>
    <w:rsid w:val="009A0D80"/>
    <w:rsid w:val="009A15F1"/>
    <w:rsid w:val="009B003A"/>
    <w:rsid w:val="009C3BEA"/>
    <w:rsid w:val="009C6C07"/>
    <w:rsid w:val="009D7B7B"/>
    <w:rsid w:val="009F0E9C"/>
    <w:rsid w:val="009F4551"/>
    <w:rsid w:val="00A058F3"/>
    <w:rsid w:val="00A15745"/>
    <w:rsid w:val="00A17223"/>
    <w:rsid w:val="00A3132D"/>
    <w:rsid w:val="00A31695"/>
    <w:rsid w:val="00A31CC2"/>
    <w:rsid w:val="00A3733B"/>
    <w:rsid w:val="00A45450"/>
    <w:rsid w:val="00A516AC"/>
    <w:rsid w:val="00A52555"/>
    <w:rsid w:val="00A57882"/>
    <w:rsid w:val="00A6243B"/>
    <w:rsid w:val="00A70D87"/>
    <w:rsid w:val="00A71F6D"/>
    <w:rsid w:val="00A72ED3"/>
    <w:rsid w:val="00A77FCE"/>
    <w:rsid w:val="00A81184"/>
    <w:rsid w:val="00A85E28"/>
    <w:rsid w:val="00AA3315"/>
    <w:rsid w:val="00AA6FDB"/>
    <w:rsid w:val="00AB4E76"/>
    <w:rsid w:val="00AB591D"/>
    <w:rsid w:val="00AC5F1A"/>
    <w:rsid w:val="00AD57C8"/>
    <w:rsid w:val="00AD7BF0"/>
    <w:rsid w:val="00AF0DDE"/>
    <w:rsid w:val="00B01876"/>
    <w:rsid w:val="00B05B91"/>
    <w:rsid w:val="00B07466"/>
    <w:rsid w:val="00B10D9E"/>
    <w:rsid w:val="00B34083"/>
    <w:rsid w:val="00B446B4"/>
    <w:rsid w:val="00B52492"/>
    <w:rsid w:val="00B55181"/>
    <w:rsid w:val="00B66411"/>
    <w:rsid w:val="00B70483"/>
    <w:rsid w:val="00B773D8"/>
    <w:rsid w:val="00B820EC"/>
    <w:rsid w:val="00B95041"/>
    <w:rsid w:val="00BA1BB1"/>
    <w:rsid w:val="00BA36CC"/>
    <w:rsid w:val="00BA4F3C"/>
    <w:rsid w:val="00BA7768"/>
    <w:rsid w:val="00BB30BC"/>
    <w:rsid w:val="00BB6466"/>
    <w:rsid w:val="00BD09B5"/>
    <w:rsid w:val="00BD2054"/>
    <w:rsid w:val="00BF3640"/>
    <w:rsid w:val="00C10052"/>
    <w:rsid w:val="00C32BCD"/>
    <w:rsid w:val="00C35AAB"/>
    <w:rsid w:val="00C36751"/>
    <w:rsid w:val="00C40FDF"/>
    <w:rsid w:val="00C42450"/>
    <w:rsid w:val="00C458DA"/>
    <w:rsid w:val="00C529C1"/>
    <w:rsid w:val="00C91217"/>
    <w:rsid w:val="00C93925"/>
    <w:rsid w:val="00C950D4"/>
    <w:rsid w:val="00C953CA"/>
    <w:rsid w:val="00CA4552"/>
    <w:rsid w:val="00CA734C"/>
    <w:rsid w:val="00CB07D9"/>
    <w:rsid w:val="00CB1D3F"/>
    <w:rsid w:val="00CB3154"/>
    <w:rsid w:val="00CB79C0"/>
    <w:rsid w:val="00CC4604"/>
    <w:rsid w:val="00CD22AC"/>
    <w:rsid w:val="00CD63FD"/>
    <w:rsid w:val="00CF03A7"/>
    <w:rsid w:val="00CF296C"/>
    <w:rsid w:val="00D11E56"/>
    <w:rsid w:val="00D160C9"/>
    <w:rsid w:val="00D17D04"/>
    <w:rsid w:val="00D23B94"/>
    <w:rsid w:val="00D2624F"/>
    <w:rsid w:val="00D326DF"/>
    <w:rsid w:val="00D328C4"/>
    <w:rsid w:val="00D33986"/>
    <w:rsid w:val="00D67B31"/>
    <w:rsid w:val="00D80B9A"/>
    <w:rsid w:val="00D84DF0"/>
    <w:rsid w:val="00D87494"/>
    <w:rsid w:val="00D87CC9"/>
    <w:rsid w:val="00D90EFE"/>
    <w:rsid w:val="00D91D44"/>
    <w:rsid w:val="00D96612"/>
    <w:rsid w:val="00DA10C3"/>
    <w:rsid w:val="00DA26E4"/>
    <w:rsid w:val="00DA3613"/>
    <w:rsid w:val="00DC0A6E"/>
    <w:rsid w:val="00DC3BE5"/>
    <w:rsid w:val="00DC5F5F"/>
    <w:rsid w:val="00DC724B"/>
    <w:rsid w:val="00DD10FB"/>
    <w:rsid w:val="00DD159A"/>
    <w:rsid w:val="00DD61AB"/>
    <w:rsid w:val="00E0130B"/>
    <w:rsid w:val="00E1384E"/>
    <w:rsid w:val="00E24910"/>
    <w:rsid w:val="00E30427"/>
    <w:rsid w:val="00E35304"/>
    <w:rsid w:val="00E47505"/>
    <w:rsid w:val="00E51B9C"/>
    <w:rsid w:val="00E544FA"/>
    <w:rsid w:val="00E54FCC"/>
    <w:rsid w:val="00E71058"/>
    <w:rsid w:val="00E8172A"/>
    <w:rsid w:val="00E8359B"/>
    <w:rsid w:val="00E91DBF"/>
    <w:rsid w:val="00E960AA"/>
    <w:rsid w:val="00E96F65"/>
    <w:rsid w:val="00EA4F60"/>
    <w:rsid w:val="00EB07D8"/>
    <w:rsid w:val="00EB0B6E"/>
    <w:rsid w:val="00ED241D"/>
    <w:rsid w:val="00EF3717"/>
    <w:rsid w:val="00EF63C7"/>
    <w:rsid w:val="00F05A49"/>
    <w:rsid w:val="00F20521"/>
    <w:rsid w:val="00F2328D"/>
    <w:rsid w:val="00F2696D"/>
    <w:rsid w:val="00F26B3B"/>
    <w:rsid w:val="00F444B1"/>
    <w:rsid w:val="00F44C62"/>
    <w:rsid w:val="00F7024E"/>
    <w:rsid w:val="00F82260"/>
    <w:rsid w:val="00F84BFE"/>
    <w:rsid w:val="00F86C57"/>
    <w:rsid w:val="00F95AF7"/>
    <w:rsid w:val="00FB1460"/>
    <w:rsid w:val="00FC4B2D"/>
    <w:rsid w:val="00FC5D9F"/>
    <w:rsid w:val="00FD6FE1"/>
    <w:rsid w:val="00FE67BF"/>
    <w:rsid w:val="00FF7153"/>
    <w:rsid w:val="0BE9A1F3"/>
    <w:rsid w:val="0FEC318E"/>
    <w:rsid w:val="1913FB40"/>
    <w:rsid w:val="2EA3A55D"/>
    <w:rsid w:val="4AE8E9AE"/>
    <w:rsid w:val="736C06B1"/>
    <w:rsid w:val="7908311B"/>
    <w:rsid w:val="7AA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4FB926"/>
  <w15:docId w15:val="{2DAC05A4-9850-441B-A57C-6F2F2CC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Kop1">
    <w:name w:val="heading 1"/>
    <w:basedOn w:val="Standaard"/>
    <w:next w:val="Text1"/>
    <w:link w:val="Kop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Kop2">
    <w:name w:val="heading 2"/>
    <w:basedOn w:val="Standaard"/>
    <w:next w:val="Text1"/>
    <w:link w:val="Kop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Kop3">
    <w:name w:val="heading 3"/>
    <w:basedOn w:val="Standaard"/>
    <w:next w:val="Text1"/>
    <w:link w:val="Kop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Kop4">
    <w:name w:val="heading 4"/>
    <w:basedOn w:val="Standaard"/>
    <w:next w:val="Text1"/>
    <w:link w:val="Kop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paragraph" w:styleId="Kop5">
    <w:name w:val="heading 5"/>
    <w:basedOn w:val="Standaard"/>
    <w:next w:val="Text2"/>
    <w:link w:val="Kop5Char"/>
    <w:uiPriority w:val="9"/>
    <w:semiHidden/>
    <w:unhideWhenUsed/>
    <w:qFormat/>
    <w:pPr>
      <w:keepNext/>
      <w:numPr>
        <w:ilvl w:val="4"/>
        <w:numId w:val="18"/>
      </w:numPr>
      <w:outlineLvl w:val="4"/>
    </w:pPr>
    <w:rPr>
      <w:rFonts w:eastAsiaTheme="majorEastAsia"/>
    </w:rPr>
  </w:style>
  <w:style w:type="paragraph" w:styleId="Kop6">
    <w:name w:val="heading 6"/>
    <w:basedOn w:val="Standaard"/>
    <w:next w:val="Text2"/>
    <w:link w:val="Kop6Char"/>
    <w:uiPriority w:val="9"/>
    <w:semiHidden/>
    <w:unhideWhenUsed/>
    <w:qFormat/>
    <w:pPr>
      <w:keepNext/>
      <w:numPr>
        <w:ilvl w:val="5"/>
        <w:numId w:val="18"/>
      </w:numPr>
      <w:outlineLvl w:val="5"/>
    </w:pPr>
    <w:rPr>
      <w:rFonts w:eastAsiaTheme="majorEastAsia"/>
      <w:iCs/>
    </w:rPr>
  </w:style>
  <w:style w:type="paragraph" w:styleId="Kop7">
    <w:name w:val="heading 7"/>
    <w:basedOn w:val="Standaard"/>
    <w:next w:val="Text2"/>
    <w:link w:val="Kop7Char"/>
    <w:uiPriority w:val="9"/>
    <w:semiHidden/>
    <w:unhideWhenUsed/>
    <w:qFormat/>
    <w:pPr>
      <w:keepNext/>
      <w:numPr>
        <w:ilvl w:val="6"/>
        <w:numId w:val="18"/>
      </w:numPr>
      <w:outlineLvl w:val="6"/>
    </w:pPr>
    <w:rPr>
      <w:rFonts w:eastAsiaTheme="majorEastAsia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45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551"/>
    <w:rPr>
      <w:rFonts w:ascii="Segoe UI" w:hAnsi="Segoe UI" w:cs="Segoe UI"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5508C2"/>
    <w:pPr>
      <w:ind w:left="72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DC724B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DC724B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DC724B"/>
    <w:pPr>
      <w:numPr>
        <w:numId w:val="4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DC724B"/>
    <w:pPr>
      <w:numPr>
        <w:numId w:val="5"/>
      </w:numPr>
      <w:contextualSpacing/>
    </w:pPr>
  </w:style>
  <w:style w:type="table" w:styleId="Tabelraster">
    <w:name w:val="Table Grid"/>
    <w:basedOn w:val="Standaardtabel"/>
    <w:uiPriority w:val="59"/>
    <w:rsid w:val="009F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B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B003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003A"/>
    <w:pPr>
      <w:spacing w:before="0"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003A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003A"/>
    <w:rPr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48321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6F14"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6F1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872D9B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table" w:styleId="Onopgemaaktetabel2">
    <w:name w:val="Plain Table 2"/>
    <w:basedOn w:val="Standaardtabel"/>
    <w:uiPriority w:val="42"/>
    <w:rsid w:val="006B16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6B16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nummering3">
    <w:name w:val="List Number 3"/>
    <w:basedOn w:val="Standaard"/>
    <w:uiPriority w:val="99"/>
    <w:semiHidden/>
    <w:unhideWhenUsed/>
    <w:rsid w:val="00A3733B"/>
    <w:pPr>
      <w:numPr>
        <w:numId w:val="7"/>
      </w:numPr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9260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292606"/>
    <w:pPr>
      <w:spacing w:after="0"/>
    </w:pPr>
  </w:style>
  <w:style w:type="paragraph" w:styleId="Lijstnummering">
    <w:name w:val="List Number"/>
    <w:basedOn w:val="Standaard"/>
    <w:uiPriority w:val="99"/>
    <w:semiHidden/>
    <w:unhideWhenUsed/>
    <w:rsid w:val="00292606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292606"/>
    <w:pPr>
      <w:numPr>
        <w:numId w:val="9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292606"/>
    <w:pPr>
      <w:numPr>
        <w:numId w:val="1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F95A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5AF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pPr>
      <w:tabs>
        <w:tab w:val="center" w:pos="4535"/>
        <w:tab w:val="right" w:pos="9071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Kopvaninhoudsopgave">
    <w:name w:val="TOC Heading"/>
    <w:basedOn w:val="Standaard"/>
    <w:next w:val="Standaard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Inhopg1">
    <w:name w:val="toc 1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2">
    <w:name w:val="toc 2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3">
    <w:name w:val="toc 3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4">
    <w:name w:val="toc 4"/>
    <w:basedOn w:val="Standaard"/>
    <w:next w:val="Standaard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Inhopg5">
    <w:name w:val="toc 5"/>
    <w:basedOn w:val="Standaard"/>
    <w:next w:val="Standaard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Inhopg6">
    <w:name w:val="toc 6"/>
    <w:basedOn w:val="Standaard"/>
    <w:next w:val="Standaard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Inhopg7">
    <w:name w:val="toc 7"/>
    <w:basedOn w:val="Standaard"/>
    <w:next w:val="Standaard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Inhopg8">
    <w:name w:val="toc 8"/>
    <w:basedOn w:val="Standaard"/>
    <w:next w:val="Standaard"/>
    <w:uiPriority w:val="39"/>
    <w:semiHidden/>
    <w:unhideWhenUsed/>
    <w:pPr>
      <w:tabs>
        <w:tab w:val="right" w:leader="dot" w:pos="9071"/>
      </w:tabs>
      <w:jc w:val="left"/>
    </w:pPr>
  </w:style>
  <w:style w:type="paragraph" w:styleId="Inhopg9">
    <w:name w:val="toc 9"/>
    <w:basedOn w:val="Standaard"/>
    <w:next w:val="Standaard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Standaar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Standaar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Standaar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Standaard"/>
    <w:pPr>
      <w:ind w:left="850"/>
    </w:pPr>
  </w:style>
  <w:style w:type="paragraph" w:customStyle="1" w:styleId="Text2">
    <w:name w:val="Text 2"/>
    <w:basedOn w:val="Standaard"/>
    <w:pPr>
      <w:ind w:left="1417"/>
    </w:pPr>
  </w:style>
  <w:style w:type="paragraph" w:customStyle="1" w:styleId="Text3">
    <w:name w:val="Text 3"/>
    <w:basedOn w:val="Standaard"/>
    <w:pPr>
      <w:ind w:left="1984"/>
    </w:pPr>
  </w:style>
  <w:style w:type="paragraph" w:customStyle="1" w:styleId="Text4">
    <w:name w:val="Text 4"/>
    <w:basedOn w:val="Standaard"/>
    <w:pPr>
      <w:ind w:left="2551"/>
    </w:pPr>
  </w:style>
  <w:style w:type="paragraph" w:customStyle="1" w:styleId="Text5">
    <w:name w:val="Text 5"/>
    <w:basedOn w:val="Standaard"/>
    <w:pPr>
      <w:ind w:left="3118"/>
    </w:pPr>
  </w:style>
  <w:style w:type="paragraph" w:customStyle="1" w:styleId="Text6">
    <w:name w:val="Text 6"/>
    <w:basedOn w:val="Standaard"/>
    <w:pPr>
      <w:ind w:left="3685"/>
    </w:pPr>
  </w:style>
  <w:style w:type="paragraph" w:customStyle="1" w:styleId="NormalCentered">
    <w:name w:val="Normal Centered"/>
    <w:basedOn w:val="Standaard"/>
    <w:pPr>
      <w:jc w:val="center"/>
    </w:pPr>
  </w:style>
  <w:style w:type="paragraph" w:customStyle="1" w:styleId="NormalLeft">
    <w:name w:val="Normal Left"/>
    <w:basedOn w:val="Standaard"/>
    <w:pPr>
      <w:jc w:val="left"/>
    </w:pPr>
  </w:style>
  <w:style w:type="paragraph" w:customStyle="1" w:styleId="NormalRight">
    <w:name w:val="Normal Right"/>
    <w:basedOn w:val="Standaard"/>
    <w:pPr>
      <w:jc w:val="right"/>
    </w:pPr>
  </w:style>
  <w:style w:type="paragraph" w:customStyle="1" w:styleId="QuotedText">
    <w:name w:val="Quoted Text"/>
    <w:basedOn w:val="Standaard"/>
    <w:pPr>
      <w:ind w:left="1417"/>
    </w:pPr>
  </w:style>
  <w:style w:type="paragraph" w:customStyle="1" w:styleId="Point0">
    <w:name w:val="Point 0"/>
    <w:basedOn w:val="Standaard"/>
    <w:pPr>
      <w:ind w:left="850" w:hanging="850"/>
    </w:pPr>
  </w:style>
  <w:style w:type="paragraph" w:customStyle="1" w:styleId="Point1">
    <w:name w:val="Point 1"/>
    <w:basedOn w:val="Standaard"/>
    <w:pPr>
      <w:ind w:left="1417" w:hanging="567"/>
    </w:pPr>
  </w:style>
  <w:style w:type="paragraph" w:customStyle="1" w:styleId="Point2">
    <w:name w:val="Point 2"/>
    <w:basedOn w:val="Standaard"/>
    <w:pPr>
      <w:ind w:left="1984" w:hanging="567"/>
    </w:pPr>
  </w:style>
  <w:style w:type="paragraph" w:customStyle="1" w:styleId="Point3">
    <w:name w:val="Point 3"/>
    <w:basedOn w:val="Standaard"/>
    <w:pPr>
      <w:ind w:left="2551" w:hanging="567"/>
    </w:pPr>
  </w:style>
  <w:style w:type="paragraph" w:customStyle="1" w:styleId="Point4">
    <w:name w:val="Point 4"/>
    <w:basedOn w:val="Standaard"/>
    <w:pPr>
      <w:ind w:left="3118" w:hanging="567"/>
    </w:pPr>
  </w:style>
  <w:style w:type="paragraph" w:customStyle="1" w:styleId="Point5">
    <w:name w:val="Point 5"/>
    <w:basedOn w:val="Standaard"/>
    <w:pPr>
      <w:ind w:left="3685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Tiret5">
    <w:name w:val="Tiret 5"/>
    <w:basedOn w:val="Point5"/>
    <w:pPr>
      <w:numPr>
        <w:numId w:val="16"/>
      </w:numPr>
    </w:pPr>
  </w:style>
  <w:style w:type="paragraph" w:customStyle="1" w:styleId="PointDouble0">
    <w:name w:val="PointDouble 0"/>
    <w:basedOn w:val="Standaar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Standaar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Standaar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Standaar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Standaar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Standaar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Standaar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Standaar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Standaar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Standaard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Standaard"/>
    <w:next w:val="Text1"/>
    <w:pPr>
      <w:numPr>
        <w:numId w:val="17"/>
      </w:numPr>
    </w:pPr>
  </w:style>
  <w:style w:type="paragraph" w:customStyle="1" w:styleId="NumPar2">
    <w:name w:val="NumPar 2"/>
    <w:basedOn w:val="Standaard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Standaard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Standaard"/>
    <w:next w:val="Text1"/>
    <w:pPr>
      <w:numPr>
        <w:ilvl w:val="3"/>
        <w:numId w:val="17"/>
      </w:numPr>
    </w:pPr>
  </w:style>
  <w:style w:type="paragraph" w:customStyle="1" w:styleId="NumPar5">
    <w:name w:val="NumPar 5"/>
    <w:basedOn w:val="Standaard"/>
    <w:next w:val="Text2"/>
    <w:pPr>
      <w:numPr>
        <w:ilvl w:val="4"/>
        <w:numId w:val="17"/>
      </w:numPr>
    </w:pPr>
  </w:style>
  <w:style w:type="paragraph" w:customStyle="1" w:styleId="NumPar6">
    <w:name w:val="NumPar 6"/>
    <w:basedOn w:val="Standaard"/>
    <w:next w:val="Text2"/>
    <w:pPr>
      <w:numPr>
        <w:ilvl w:val="5"/>
        <w:numId w:val="17"/>
      </w:numPr>
    </w:pPr>
  </w:style>
  <w:style w:type="paragraph" w:customStyle="1" w:styleId="NumPar7">
    <w:name w:val="NumPar 7"/>
    <w:basedOn w:val="Standaard"/>
    <w:next w:val="Text2"/>
    <w:pPr>
      <w:numPr>
        <w:ilvl w:val="6"/>
        <w:numId w:val="17"/>
      </w:numPr>
    </w:pPr>
  </w:style>
  <w:style w:type="paragraph" w:customStyle="1" w:styleId="ManualNumPar1">
    <w:name w:val="Manual NumPar 1"/>
    <w:basedOn w:val="Standaard"/>
    <w:next w:val="Text1"/>
    <w:pPr>
      <w:ind w:left="850" w:hanging="850"/>
    </w:pPr>
  </w:style>
  <w:style w:type="paragraph" w:customStyle="1" w:styleId="ManualNumPar2">
    <w:name w:val="Manual NumPar 2"/>
    <w:basedOn w:val="Standaard"/>
    <w:next w:val="Text1"/>
    <w:pPr>
      <w:ind w:left="850" w:hanging="850"/>
    </w:pPr>
  </w:style>
  <w:style w:type="paragraph" w:customStyle="1" w:styleId="ManualNumPar3">
    <w:name w:val="Manual NumPar 3"/>
    <w:basedOn w:val="Standaard"/>
    <w:next w:val="Text1"/>
    <w:pPr>
      <w:ind w:left="850" w:hanging="850"/>
    </w:pPr>
  </w:style>
  <w:style w:type="paragraph" w:customStyle="1" w:styleId="ManualNumPar4">
    <w:name w:val="Manual NumPar 4"/>
    <w:basedOn w:val="Standaard"/>
    <w:next w:val="Text1"/>
    <w:pPr>
      <w:ind w:left="850" w:hanging="850"/>
    </w:pPr>
  </w:style>
  <w:style w:type="paragraph" w:customStyle="1" w:styleId="ManualNumPar5">
    <w:name w:val="Manual NumPar 5"/>
    <w:basedOn w:val="Standaard"/>
    <w:next w:val="Text2"/>
    <w:pPr>
      <w:ind w:left="1417" w:hanging="1417"/>
    </w:pPr>
  </w:style>
  <w:style w:type="paragraph" w:customStyle="1" w:styleId="ManualNumPar6">
    <w:name w:val="Manual NumPar 6"/>
    <w:basedOn w:val="Standaard"/>
    <w:next w:val="Text2"/>
    <w:pPr>
      <w:ind w:left="1417" w:hanging="1417"/>
    </w:pPr>
  </w:style>
  <w:style w:type="paragraph" w:customStyle="1" w:styleId="ManualNumPar7">
    <w:name w:val="Manual NumPar 7"/>
    <w:basedOn w:val="Standaard"/>
    <w:next w:val="Text2"/>
    <w:pPr>
      <w:ind w:left="1417" w:hanging="1417"/>
    </w:pPr>
  </w:style>
  <w:style w:type="paragraph" w:customStyle="1" w:styleId="QuotedNumPar">
    <w:name w:val="Quoted NumPar"/>
    <w:basedOn w:val="Standaard"/>
    <w:pPr>
      <w:ind w:left="1417" w:hanging="567"/>
    </w:pPr>
  </w:style>
  <w:style w:type="paragraph" w:customStyle="1" w:styleId="ManualHeading1">
    <w:name w:val="Manual Heading 1"/>
    <w:basedOn w:val="Standaard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Standaard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Standaard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Standaard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Standaard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Standaard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Standaard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Standaard"/>
    <w:next w:val="Standaard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Standaard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Standaard"/>
    <w:next w:val="Kop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Standaard"/>
    <w:next w:val="Standaard"/>
    <w:pPr>
      <w:jc w:val="center"/>
    </w:pPr>
    <w:rPr>
      <w:b/>
    </w:rPr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character" w:customStyle="1" w:styleId="Marker1">
    <w:name w:val="Marker1"/>
    <w:basedOn w:val="Standaardalinea-lettertype"/>
    <w:rPr>
      <w:color w:val="008000"/>
      <w:shd w:val="clear" w:color="auto" w:fill="auto"/>
    </w:rPr>
  </w:style>
  <w:style w:type="character" w:customStyle="1" w:styleId="Marker2">
    <w:name w:val="Marker2"/>
    <w:basedOn w:val="Standaardalinea-lettertype"/>
    <w:rPr>
      <w:color w:val="FF0000"/>
      <w:shd w:val="clear" w:color="auto" w:fill="auto"/>
    </w:rPr>
  </w:style>
  <w:style w:type="paragraph" w:customStyle="1" w:styleId="Point0number">
    <w:name w:val="Point 0 (number)"/>
    <w:basedOn w:val="Standaard"/>
    <w:pPr>
      <w:numPr>
        <w:numId w:val="19"/>
      </w:numPr>
    </w:pPr>
  </w:style>
  <w:style w:type="paragraph" w:customStyle="1" w:styleId="Point1number">
    <w:name w:val="Point 1 (number)"/>
    <w:basedOn w:val="Standaard"/>
    <w:pPr>
      <w:numPr>
        <w:ilvl w:val="2"/>
        <w:numId w:val="19"/>
      </w:numPr>
    </w:pPr>
  </w:style>
  <w:style w:type="paragraph" w:customStyle="1" w:styleId="Point2number">
    <w:name w:val="Point 2 (number)"/>
    <w:basedOn w:val="Standaard"/>
    <w:pPr>
      <w:numPr>
        <w:ilvl w:val="4"/>
        <w:numId w:val="19"/>
      </w:numPr>
    </w:pPr>
  </w:style>
  <w:style w:type="paragraph" w:customStyle="1" w:styleId="Point3number">
    <w:name w:val="Point 3 (number)"/>
    <w:basedOn w:val="Standaard"/>
    <w:pPr>
      <w:numPr>
        <w:ilvl w:val="6"/>
        <w:numId w:val="19"/>
      </w:numPr>
    </w:pPr>
  </w:style>
  <w:style w:type="paragraph" w:customStyle="1" w:styleId="Point0letter">
    <w:name w:val="Point 0 (letter)"/>
    <w:basedOn w:val="Standaard"/>
    <w:pPr>
      <w:numPr>
        <w:ilvl w:val="1"/>
        <w:numId w:val="19"/>
      </w:numPr>
    </w:pPr>
  </w:style>
  <w:style w:type="paragraph" w:customStyle="1" w:styleId="Point1letter">
    <w:name w:val="Point 1 (letter)"/>
    <w:basedOn w:val="Standaard"/>
    <w:pPr>
      <w:numPr>
        <w:ilvl w:val="3"/>
        <w:numId w:val="19"/>
      </w:numPr>
    </w:pPr>
  </w:style>
  <w:style w:type="paragraph" w:customStyle="1" w:styleId="Point2letter">
    <w:name w:val="Point 2 (letter)"/>
    <w:basedOn w:val="Standaard"/>
    <w:pPr>
      <w:numPr>
        <w:ilvl w:val="5"/>
        <w:numId w:val="19"/>
      </w:numPr>
    </w:pPr>
  </w:style>
  <w:style w:type="paragraph" w:customStyle="1" w:styleId="Point3letter">
    <w:name w:val="Point 3 (letter)"/>
    <w:basedOn w:val="Standaard"/>
    <w:pPr>
      <w:numPr>
        <w:ilvl w:val="7"/>
        <w:numId w:val="19"/>
      </w:numPr>
    </w:pPr>
  </w:style>
  <w:style w:type="paragraph" w:customStyle="1" w:styleId="Point4letter">
    <w:name w:val="Point 4 (letter)"/>
    <w:basedOn w:val="Standaard"/>
    <w:pPr>
      <w:numPr>
        <w:ilvl w:val="8"/>
        <w:numId w:val="19"/>
      </w:numPr>
    </w:pPr>
  </w:style>
  <w:style w:type="paragraph" w:customStyle="1" w:styleId="Bullet0">
    <w:name w:val="Bullet 0"/>
    <w:basedOn w:val="Standaard"/>
    <w:pPr>
      <w:numPr>
        <w:numId w:val="20"/>
      </w:numPr>
    </w:pPr>
  </w:style>
  <w:style w:type="paragraph" w:customStyle="1" w:styleId="Bullet1">
    <w:name w:val="Bullet 1"/>
    <w:basedOn w:val="Standaard"/>
    <w:pPr>
      <w:numPr>
        <w:numId w:val="21"/>
      </w:numPr>
    </w:pPr>
  </w:style>
  <w:style w:type="paragraph" w:customStyle="1" w:styleId="Bullet2">
    <w:name w:val="Bullet 2"/>
    <w:basedOn w:val="Standaard"/>
    <w:pPr>
      <w:numPr>
        <w:numId w:val="22"/>
      </w:numPr>
    </w:pPr>
  </w:style>
  <w:style w:type="paragraph" w:customStyle="1" w:styleId="Bullet3">
    <w:name w:val="Bullet 3"/>
    <w:basedOn w:val="Standaard"/>
    <w:pPr>
      <w:numPr>
        <w:numId w:val="23"/>
      </w:numPr>
    </w:pPr>
  </w:style>
  <w:style w:type="paragraph" w:customStyle="1" w:styleId="Bullet4">
    <w:name w:val="Bullet 4"/>
    <w:basedOn w:val="Standaard"/>
    <w:pPr>
      <w:numPr>
        <w:numId w:val="24"/>
      </w:numPr>
    </w:pPr>
  </w:style>
  <w:style w:type="paragraph" w:customStyle="1" w:styleId="Langue">
    <w:name w:val="Langue"/>
    <w:basedOn w:val="Standaard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Standaard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Standaard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Standaard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Standaard"/>
    <w:next w:val="Standaard"/>
    <w:pPr>
      <w:spacing w:before="0" w:after="0"/>
    </w:pPr>
  </w:style>
  <w:style w:type="paragraph" w:customStyle="1" w:styleId="Declassification">
    <w:name w:val="Declassification"/>
    <w:basedOn w:val="Standaard"/>
    <w:next w:val="Standaard"/>
    <w:pPr>
      <w:spacing w:before="0" w:after="0"/>
    </w:pPr>
  </w:style>
  <w:style w:type="paragraph" w:customStyle="1" w:styleId="Disclaimer">
    <w:name w:val="Disclaimer"/>
    <w:basedOn w:val="Standaard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Standaard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Standaard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Standaard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Standaard"/>
    <w:next w:val="Standaard"/>
    <w:pPr>
      <w:jc w:val="center"/>
    </w:pPr>
    <w:rPr>
      <w:b/>
      <w:u w:val="single"/>
    </w:rPr>
  </w:style>
  <w:style w:type="paragraph" w:customStyle="1" w:styleId="Annexetitre">
    <w:name w:val="Annexe titre"/>
    <w:basedOn w:val="Standaard"/>
    <w:next w:val="Standaar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Standaard"/>
    <w:next w:val="Standaar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Standaard"/>
    <w:next w:val="Fait"/>
    <w:pPr>
      <w:spacing w:before="480"/>
    </w:pPr>
  </w:style>
  <w:style w:type="paragraph" w:customStyle="1" w:styleId="Avertissementtitre">
    <w:name w:val="Avertissement titre"/>
    <w:basedOn w:val="Standaard"/>
    <w:next w:val="Standaard"/>
    <w:pPr>
      <w:keepNext/>
      <w:spacing w:before="480"/>
    </w:pPr>
    <w:rPr>
      <w:u w:val="single"/>
    </w:rPr>
  </w:style>
  <w:style w:type="paragraph" w:customStyle="1" w:styleId="Confidence">
    <w:name w:val="Confidence"/>
    <w:basedOn w:val="Standaard"/>
    <w:next w:val="Standaard"/>
    <w:pPr>
      <w:spacing w:before="360"/>
      <w:jc w:val="center"/>
    </w:pPr>
  </w:style>
  <w:style w:type="paragraph" w:customStyle="1" w:styleId="Confidentialit">
    <w:name w:val="Confidentialité"/>
    <w:basedOn w:val="Standaard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Standaard"/>
    <w:pPr>
      <w:numPr>
        <w:numId w:val="25"/>
      </w:numPr>
    </w:pPr>
  </w:style>
  <w:style w:type="paragraph" w:customStyle="1" w:styleId="Corrigendum">
    <w:name w:val="Corrigendum"/>
    <w:basedOn w:val="Standaard"/>
    <w:next w:val="Standaard"/>
    <w:pPr>
      <w:spacing w:before="0" w:after="240"/>
      <w:jc w:val="left"/>
    </w:pPr>
  </w:style>
  <w:style w:type="paragraph" w:customStyle="1" w:styleId="Datedadoption">
    <w:name w:val="Date d'adoption"/>
    <w:basedOn w:val="Standaard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Standaard"/>
    <w:next w:val="Standaard"/>
    <w:pPr>
      <w:jc w:val="center"/>
    </w:pPr>
    <w:rPr>
      <w:b/>
      <w:u w:val="single"/>
    </w:rPr>
  </w:style>
  <w:style w:type="paragraph" w:customStyle="1" w:styleId="Fait">
    <w:name w:val="Fait à"/>
    <w:basedOn w:val="Standaard"/>
    <w:next w:val="Institutionquisigne"/>
    <w:pPr>
      <w:keepNext/>
      <w:spacing w:after="0"/>
    </w:pPr>
  </w:style>
  <w:style w:type="paragraph" w:customStyle="1" w:styleId="Formuledadoption">
    <w:name w:val="Formule d'adoption"/>
    <w:basedOn w:val="Standaard"/>
    <w:next w:val="Titrearticle"/>
    <w:pPr>
      <w:keepNext/>
    </w:pPr>
  </w:style>
  <w:style w:type="paragraph" w:customStyle="1" w:styleId="Institutionquiagit">
    <w:name w:val="Institution qui agit"/>
    <w:basedOn w:val="Standaard"/>
    <w:next w:val="Standaard"/>
    <w:pPr>
      <w:keepNext/>
      <w:spacing w:before="600"/>
    </w:pPr>
  </w:style>
  <w:style w:type="paragraph" w:customStyle="1" w:styleId="Institutionquisigne">
    <w:name w:val="Institution qui signe"/>
    <w:basedOn w:val="Standaard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Standaard"/>
    <w:pPr>
      <w:ind w:left="709" w:hanging="709"/>
    </w:pPr>
  </w:style>
  <w:style w:type="paragraph" w:customStyle="1" w:styleId="Personnequisigne">
    <w:name w:val="Personne qui signe"/>
    <w:basedOn w:val="Standaard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Standaard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Standaard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Standaard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Standaard"/>
    <w:next w:val="Standaard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Standaard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Standaardalinea-lettertype"/>
    <w:rPr>
      <w:b/>
      <w:u w:val="single"/>
      <w:shd w:val="clear" w:color="auto" w:fill="auto"/>
    </w:rPr>
  </w:style>
  <w:style w:type="character" w:customStyle="1" w:styleId="Deleted">
    <w:name w:val="Deleted"/>
    <w:basedOn w:val="Standaardalinea-lettertype"/>
    <w:rPr>
      <w:strike/>
      <w:dstrike w:val="0"/>
      <w:shd w:val="clear" w:color="auto" w:fill="auto"/>
    </w:rPr>
  </w:style>
  <w:style w:type="paragraph" w:customStyle="1" w:styleId="Address">
    <w:name w:val="Address"/>
    <w:basedOn w:val="Standaard"/>
    <w:next w:val="Standaard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Standaard"/>
    <w:next w:val="Standaard"/>
    <w:rPr>
      <w:i/>
      <w:caps/>
    </w:rPr>
  </w:style>
  <w:style w:type="paragraph" w:customStyle="1" w:styleId="Supertitre">
    <w:name w:val="Supertitre"/>
    <w:basedOn w:val="Standaard"/>
    <w:next w:val="Standaard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Standaard"/>
    <w:next w:val="Standaard"/>
    <w:pPr>
      <w:spacing w:before="360" w:after="0"/>
      <w:jc w:val="center"/>
    </w:pPr>
  </w:style>
  <w:style w:type="paragraph" w:customStyle="1" w:styleId="Rfrencecroise">
    <w:name w:val="Référence croisée"/>
    <w:basedOn w:val="Standaard"/>
    <w:pPr>
      <w:spacing w:before="0" w:after="0"/>
      <w:jc w:val="center"/>
    </w:pPr>
  </w:style>
  <w:style w:type="paragraph" w:customStyle="1" w:styleId="Fichefinanciretitre">
    <w:name w:val="Fiche financière titre"/>
    <w:basedOn w:val="Standaard"/>
    <w:next w:val="Standaard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Standaard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Standaard"/>
    <w:pPr>
      <w:spacing w:after="240"/>
    </w:pPr>
  </w:style>
  <w:style w:type="paragraph" w:customStyle="1" w:styleId="Accompagnant">
    <w:name w:val="Accompagnant"/>
    <w:basedOn w:val="Standaard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Standaard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Standaard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Standaard"/>
    <w:next w:val="Standaard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144c03d0-0f03-451f-9d46-5279004462a4" xsi:nil="true"/>
    <EC_Collab_Status xmlns="144c03d0-0f03-451f-9d46-5279004462a4">Not Started</EC_Collab_Status>
    <_Status xmlns="http://schemas.microsoft.com/sharepoint/v3/fields">Not Started</_Status>
    <EC_Collab_DocumentLanguage xmlns="144c03d0-0f03-451f-9d46-5279004462a4">EN</EC_Collab_DocumentLanguag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BAD999D84E12C74482EA5120F5227F6F00217DECAAC21D6B43958DFE68658C192E" ma:contentTypeVersion="19" ma:contentTypeDescription="Create a new document in this library." ma:contentTypeScope="" ma:versionID="2d7ca50ab0fd944688bf7a513d960f31">
  <xsd:schema xmlns:xsd="http://www.w3.org/2001/XMLSchema" xmlns:xs="http://www.w3.org/2001/XMLSchema" xmlns:p="http://schemas.microsoft.com/office/2006/metadata/properties" xmlns:ns2="http://schemas.microsoft.com/sharepoint/v3/fields" xmlns:ns3="144c03d0-0f03-451f-9d46-5279004462a4" targetNamespace="http://schemas.microsoft.com/office/2006/metadata/properties" ma:root="true" ma:fieldsID="d5b5bd5ca145d117eddb7b8ba59277b5" ns2:_="" ns3:_="">
    <xsd:import namespace="http://schemas.microsoft.com/sharepoint/v3/fields"/>
    <xsd:import namespace="144c03d0-0f03-451f-9d46-5279004462a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SharedWithUsers" minOccurs="0"/>
                <xsd:element ref="ns3:SharedWithDetails" minOccurs="0"/>
                <xsd:element ref="ns3:EC_Collab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03d0-0f03-451f-9d46-5279004462a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 ma:readOnly="false">
      <xsd:simpleType>
        <xsd:restriction base="dms:Text"/>
      </xsd:simpleType>
    </xsd:element>
    <xsd:element name="EC_Collab_DocumentLanguage" ma:index="14" ma:displayName="Language" ma:default="EN" ma:format="Dropdow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C_Collab_Status" ma:index="17" nillable="true" ma:displayName="EC Status" ma:default="Not Started" ma:format="Dropdown" ma:internalName="EC_Collab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95E25-2010-46A1-B8FC-D47345F0D56D}">
  <ds:schemaRefs>
    <ds:schemaRef ds:uri="http://schemas.microsoft.com/office/2006/metadata/properties"/>
    <ds:schemaRef ds:uri="http://schemas.microsoft.com/office/infopath/2007/PartnerControls"/>
    <ds:schemaRef ds:uri="144c03d0-0f03-451f-9d46-5279004462a4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4DD5B0B-E4F6-4EC4-80FA-13B30DA1B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B5367-3100-4F6A-93CD-33E68249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44c03d0-0f03-451f-9d46-527900446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1942E-3522-4513-A9F3-AB4B49563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SCHUPP Bastiaan (SANTE)</dc:creator>
  <cp:keywords/>
  <dc:description/>
  <cp:lastModifiedBy>Jan Cardon</cp:lastModifiedBy>
  <cp:revision>2</cp:revision>
  <cp:lastPrinted>2024-05-14T14:00:00Z</cp:lastPrinted>
  <dcterms:created xsi:type="dcterms:W3CDTF">2024-06-15T19:38:00Z</dcterms:created>
  <dcterms:modified xsi:type="dcterms:W3CDTF">2024-06-15T19:38:00Z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8.1, Build 20220902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2023-10-04T13:07:43Z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40e4713a-b682-431c-8c1d-a7638bc50fba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0x010100BAD999D84E12C74482EA5120F5227F6F00217DECAAC21D6B43958DFE68658C192E</vt:lpwstr>
  </property>
  <property fmtid="{D5CDD505-2E9C-101B-9397-08002B2CF9AE}" pid="21" name="DQCStatus">
    <vt:lpwstr>Green (DQC version 03)</vt:lpwstr>
  </property>
</Properties>
</file>